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3B4206" w14:textId="77777777" w:rsidR="00A1707C" w:rsidRDefault="009545BE">
      <w:pPr>
        <w:spacing w:before="220" w:after="220" w:line="360" w:lineRule="auto"/>
        <w:jc w:val="both"/>
        <w:rPr>
          <w:rFonts w:ascii="Verdana" w:eastAsia="Verdana" w:hAnsi="Verdana" w:cs="Verdana"/>
          <w:sz w:val="21"/>
          <w:szCs w:val="21"/>
        </w:rPr>
      </w:pPr>
      <w:r>
        <w:rPr>
          <w:rFonts w:ascii="Verdana" w:eastAsia="Verdana" w:hAnsi="Verdana" w:cs="Verdana"/>
          <w:noProof/>
          <w:sz w:val="21"/>
          <w:szCs w:val="21"/>
        </w:rPr>
        <w:drawing>
          <wp:inline distT="114300" distB="114300" distL="114300" distR="114300" wp14:anchorId="3BC67AD8" wp14:editId="48639792">
            <wp:extent cx="6388650" cy="5346700"/>
            <wp:effectExtent l="0" t="0" r="0" b="0"/>
            <wp:docPr id="1" name="image3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.pn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388650" cy="53467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6D60B5F8" w14:textId="77777777" w:rsidR="00A1707C" w:rsidRDefault="009545BE">
      <w:pPr>
        <w:spacing w:before="220" w:after="220" w:line="36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highlight w:val="white"/>
        </w:rPr>
        <w:t xml:space="preserve">Kluczem do optymalnego włączania technologii w proces dydaktyczny jest uzmysłowienie sobie, jaki cel realizuje wybrane narzędzie TIK. </w:t>
      </w:r>
      <w:hyperlink r:id="rId7">
        <w:r>
          <w:rPr>
            <w:rFonts w:ascii="Times New Roman" w:eastAsia="Times New Roman" w:hAnsi="Times New Roman" w:cs="Times New Roman"/>
            <w:color w:val="318DCC"/>
            <w:sz w:val="24"/>
            <w:szCs w:val="24"/>
            <w:highlight w:val="white"/>
            <w:u w:val="single"/>
          </w:rPr>
          <w:t xml:space="preserve">Ruben R. </w:t>
        </w:r>
        <w:proofErr w:type="spellStart"/>
        <w:r>
          <w:rPr>
            <w:rFonts w:ascii="Times New Roman" w:eastAsia="Times New Roman" w:hAnsi="Times New Roman" w:cs="Times New Roman"/>
            <w:color w:val="318DCC"/>
            <w:sz w:val="24"/>
            <w:szCs w:val="24"/>
            <w:highlight w:val="white"/>
            <w:u w:val="single"/>
          </w:rPr>
          <w:t>Puentedura</w:t>
        </w:r>
        <w:proofErr w:type="spellEnd"/>
        <w:r>
          <w:rPr>
            <w:rFonts w:ascii="Times New Roman" w:eastAsia="Times New Roman" w:hAnsi="Times New Roman" w:cs="Times New Roman"/>
            <w:color w:val="318DCC"/>
            <w:sz w:val="24"/>
            <w:szCs w:val="24"/>
            <w:highlight w:val="white"/>
            <w:u w:val="single"/>
          </w:rPr>
          <w:t xml:space="preserve"> prezentuje na swoim blogu</w:t>
        </w:r>
      </w:hyperlink>
      <w:r>
        <w:rPr>
          <w:rFonts w:ascii="Times New Roman" w:eastAsia="Times New Roman" w:hAnsi="Times New Roman" w:cs="Times New Roman"/>
          <w:color w:val="333333"/>
          <w:sz w:val="24"/>
          <w:szCs w:val="24"/>
          <w:highlight w:val="white"/>
        </w:rPr>
        <w:t xml:space="preserve"> model SAMR, opisujący cztery ko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highlight w:val="white"/>
        </w:rPr>
        <w:t>lejne etapy włączania nowoczesnych technologii w proces edukacyjny. Model ten daje ci możliwość refleksji i odpowiedzenia na pytanie, dlaczego używasz określonej technologii; pomoże ci też stworzyć zadania z wykorzystaniem TIK, które będą rozwijały poznawc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highlight w:val="white"/>
        </w:rPr>
        <w:t>zo uczniów i pozwolą im zebrać bogate doświadczenia edukacyjne.</w:t>
      </w:r>
    </w:p>
    <w:p w14:paraId="3231EA79" w14:textId="77777777" w:rsidR="00A1707C" w:rsidRDefault="009545BE">
      <w:pPr>
        <w:shd w:val="clear" w:color="auto" w:fill="FFFFFF"/>
        <w:spacing w:after="160" w:line="360" w:lineRule="auto"/>
        <w:jc w:val="both"/>
        <w:rPr>
          <w:rFonts w:ascii="Arial" w:eastAsia="Arial" w:hAnsi="Arial" w:cs="Arial"/>
          <w:color w:val="333333"/>
          <w:highlight w:val="white"/>
        </w:rPr>
      </w:pPr>
      <w:proofErr w:type="spellStart"/>
      <w:r>
        <w:rPr>
          <w:rFonts w:ascii="Arial" w:eastAsia="Arial" w:hAnsi="Arial" w:cs="Arial"/>
          <w:b/>
          <w:color w:val="333333"/>
          <w:highlight w:val="white"/>
        </w:rPr>
        <w:t>S</w:t>
      </w:r>
      <w:r>
        <w:rPr>
          <w:rFonts w:ascii="Arial" w:eastAsia="Arial" w:hAnsi="Arial" w:cs="Arial"/>
          <w:color w:val="333333"/>
          <w:highlight w:val="white"/>
        </w:rPr>
        <w:t>ubstitution</w:t>
      </w:r>
      <w:proofErr w:type="spellEnd"/>
    </w:p>
    <w:p w14:paraId="3FFCF5B4" w14:textId="77777777" w:rsidR="00A1707C" w:rsidRDefault="009545BE">
      <w:pPr>
        <w:shd w:val="clear" w:color="auto" w:fill="FFFFFF"/>
        <w:spacing w:after="160" w:line="36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highlight w:val="white"/>
        </w:rPr>
      </w:pPr>
      <w:r>
        <w:rPr>
          <w:rFonts w:ascii="Arial" w:eastAsia="Arial" w:hAnsi="Arial" w:cs="Arial"/>
          <w:color w:val="333333"/>
          <w:highlight w:val="white"/>
        </w:rPr>
        <w:t xml:space="preserve">Pierwszy, najniższy poziom zastosowania nowoczesnych technologii w klasie, to </w:t>
      </w:r>
      <w:r>
        <w:rPr>
          <w:rFonts w:ascii="Arial" w:eastAsia="Arial" w:hAnsi="Arial" w:cs="Arial"/>
          <w:b/>
          <w:color w:val="333333"/>
          <w:highlight w:val="white"/>
        </w:rPr>
        <w:t xml:space="preserve">zastąpienie </w:t>
      </w:r>
      <w:r>
        <w:rPr>
          <w:rFonts w:ascii="Arial" w:eastAsia="Arial" w:hAnsi="Arial" w:cs="Arial"/>
          <w:color w:val="333333"/>
          <w:highlight w:val="white"/>
        </w:rPr>
        <w:t>(</w:t>
      </w:r>
      <w:proofErr w:type="spellStart"/>
      <w:r>
        <w:rPr>
          <w:rFonts w:ascii="Arial" w:eastAsia="Arial" w:hAnsi="Arial" w:cs="Arial"/>
          <w:color w:val="333333"/>
          <w:highlight w:val="white"/>
        </w:rPr>
        <w:t>substitution</w:t>
      </w:r>
      <w:proofErr w:type="spellEnd"/>
      <w:r>
        <w:rPr>
          <w:rFonts w:ascii="Arial" w:eastAsia="Arial" w:hAnsi="Arial" w:cs="Arial"/>
          <w:color w:val="333333"/>
          <w:highlight w:val="white"/>
        </w:rPr>
        <w:t>). Polega na tym, że nauczyciel stosuje TIK, które zastępują inne rozwiązani</w:t>
      </w:r>
      <w:r>
        <w:rPr>
          <w:rFonts w:ascii="Arial" w:eastAsia="Arial" w:hAnsi="Arial" w:cs="Arial"/>
          <w:color w:val="333333"/>
          <w:highlight w:val="white"/>
        </w:rPr>
        <w:t>e bez funkc</w:t>
      </w:r>
      <w:bookmarkStart w:id="0" w:name="_GoBack"/>
      <w:bookmarkEnd w:id="0"/>
      <w:r>
        <w:rPr>
          <w:rFonts w:ascii="Arial" w:eastAsia="Arial" w:hAnsi="Arial" w:cs="Arial"/>
          <w:color w:val="333333"/>
          <w:highlight w:val="white"/>
        </w:rPr>
        <w:t xml:space="preserve">jonalnej zmiany. Innymi słowy, to co robi z użyciem TIK, mógłby równie dobrze zrobić bez tej </w:t>
      </w:r>
      <w:r>
        <w:rPr>
          <w:rFonts w:ascii="Arial" w:eastAsia="Arial" w:hAnsi="Arial" w:cs="Arial"/>
          <w:color w:val="333333"/>
          <w:highlight w:val="white"/>
        </w:rPr>
        <w:lastRenderedPageBreak/>
        <w:t>technologii. Jest to np. sytuacja, w której tradycyjny podręcznik zostaje zastąpiony tabletem, tablica i kreda slajdami prezentacji PowerPoint</w:t>
      </w:r>
    </w:p>
    <w:p w14:paraId="666ADABF" w14:textId="77777777" w:rsidR="00A1707C" w:rsidRDefault="009545BE">
      <w:pPr>
        <w:shd w:val="clear" w:color="auto" w:fill="FFFFFF"/>
        <w:spacing w:after="160" w:line="360" w:lineRule="auto"/>
        <w:jc w:val="both"/>
        <w:rPr>
          <w:rFonts w:ascii="Arial" w:eastAsia="Arial" w:hAnsi="Arial" w:cs="Arial"/>
          <w:color w:val="333333"/>
          <w:highlight w:val="white"/>
        </w:rPr>
      </w:pPr>
      <w:proofErr w:type="spellStart"/>
      <w:r>
        <w:rPr>
          <w:rFonts w:ascii="Arial" w:eastAsia="Arial" w:hAnsi="Arial" w:cs="Arial"/>
          <w:b/>
          <w:color w:val="333333"/>
          <w:highlight w:val="white"/>
        </w:rPr>
        <w:t>A</w:t>
      </w:r>
      <w:r>
        <w:rPr>
          <w:rFonts w:ascii="Arial" w:eastAsia="Arial" w:hAnsi="Arial" w:cs="Arial"/>
          <w:color w:val="333333"/>
          <w:highlight w:val="white"/>
        </w:rPr>
        <w:t>ugmentat</w:t>
      </w:r>
      <w:r>
        <w:rPr>
          <w:rFonts w:ascii="Arial" w:eastAsia="Arial" w:hAnsi="Arial" w:cs="Arial"/>
          <w:color w:val="333333"/>
          <w:highlight w:val="white"/>
        </w:rPr>
        <w:t>ion</w:t>
      </w:r>
      <w:proofErr w:type="spellEnd"/>
    </w:p>
    <w:p w14:paraId="2C56C1DB" w14:textId="77777777" w:rsidR="00A1707C" w:rsidRDefault="009545BE">
      <w:pPr>
        <w:shd w:val="clear" w:color="auto" w:fill="FFFFFF"/>
        <w:spacing w:after="160" w:line="360" w:lineRule="auto"/>
        <w:jc w:val="both"/>
        <w:rPr>
          <w:rFonts w:ascii="Arial" w:eastAsia="Arial" w:hAnsi="Arial" w:cs="Arial"/>
          <w:color w:val="333333"/>
          <w:highlight w:val="white"/>
        </w:rPr>
      </w:pPr>
      <w:r>
        <w:rPr>
          <w:rFonts w:ascii="Arial" w:eastAsia="Arial" w:hAnsi="Arial" w:cs="Arial"/>
          <w:color w:val="333333"/>
          <w:highlight w:val="white"/>
        </w:rPr>
        <w:t xml:space="preserve">Drugim poziomem jest </w:t>
      </w:r>
      <w:r>
        <w:rPr>
          <w:rFonts w:ascii="Arial" w:eastAsia="Arial" w:hAnsi="Arial" w:cs="Arial"/>
          <w:b/>
          <w:color w:val="333333"/>
          <w:highlight w:val="white"/>
        </w:rPr>
        <w:t xml:space="preserve">rozszerzenie </w:t>
      </w:r>
      <w:r>
        <w:rPr>
          <w:rFonts w:ascii="Arial" w:eastAsia="Arial" w:hAnsi="Arial" w:cs="Arial"/>
          <w:color w:val="333333"/>
          <w:highlight w:val="white"/>
        </w:rPr>
        <w:t>(</w:t>
      </w:r>
      <w:proofErr w:type="spellStart"/>
      <w:r>
        <w:rPr>
          <w:rFonts w:ascii="Arial" w:eastAsia="Arial" w:hAnsi="Arial" w:cs="Arial"/>
          <w:color w:val="333333"/>
          <w:highlight w:val="white"/>
        </w:rPr>
        <w:t>augmentation</w:t>
      </w:r>
      <w:proofErr w:type="spellEnd"/>
      <w:r>
        <w:rPr>
          <w:rFonts w:ascii="Arial" w:eastAsia="Arial" w:hAnsi="Arial" w:cs="Arial"/>
          <w:color w:val="333333"/>
          <w:highlight w:val="white"/>
        </w:rPr>
        <w:t>). Używanie TIK na tym poziomie zastępuje dotychczasowe analogiczne działanie, ale dodaje nową funkcjonalność. Dla przykładu: zamiast wyszukiwania słów w tradycyjnym słowniku, uczniowie używają słownika in</w:t>
      </w:r>
      <w:r>
        <w:rPr>
          <w:rFonts w:ascii="Arial" w:eastAsia="Arial" w:hAnsi="Arial" w:cs="Arial"/>
          <w:color w:val="333333"/>
          <w:highlight w:val="white"/>
        </w:rPr>
        <w:t>teraktywnego, ucząc się wymowy poprzez możliwość odsłuchu. W tradycyjnym, papierowym słowniku, nie ma takiej możliwości.</w:t>
      </w:r>
    </w:p>
    <w:p w14:paraId="1757BAB0" w14:textId="77777777" w:rsidR="00A1707C" w:rsidRDefault="009545BE">
      <w:pPr>
        <w:shd w:val="clear" w:color="auto" w:fill="FFFFFF"/>
        <w:spacing w:after="160" w:line="360" w:lineRule="auto"/>
        <w:jc w:val="both"/>
        <w:rPr>
          <w:rFonts w:ascii="Arial" w:eastAsia="Arial" w:hAnsi="Arial" w:cs="Arial"/>
          <w:color w:val="333333"/>
          <w:highlight w:val="white"/>
        </w:rPr>
      </w:pPr>
      <w:proofErr w:type="spellStart"/>
      <w:r>
        <w:rPr>
          <w:rFonts w:ascii="Arial" w:eastAsia="Arial" w:hAnsi="Arial" w:cs="Arial"/>
          <w:b/>
          <w:color w:val="333333"/>
          <w:highlight w:val="white"/>
        </w:rPr>
        <w:t>M</w:t>
      </w:r>
      <w:r>
        <w:rPr>
          <w:rFonts w:ascii="Arial" w:eastAsia="Arial" w:hAnsi="Arial" w:cs="Arial"/>
          <w:color w:val="333333"/>
          <w:highlight w:val="white"/>
        </w:rPr>
        <w:t>odification</w:t>
      </w:r>
      <w:proofErr w:type="spellEnd"/>
    </w:p>
    <w:p w14:paraId="1BA1BA65" w14:textId="77777777" w:rsidR="00A1707C" w:rsidRDefault="009545BE">
      <w:pPr>
        <w:shd w:val="clear" w:color="auto" w:fill="FFFFFF"/>
        <w:spacing w:after="160" w:line="360" w:lineRule="auto"/>
        <w:jc w:val="both"/>
        <w:rPr>
          <w:rFonts w:ascii="Arial" w:eastAsia="Arial" w:hAnsi="Arial" w:cs="Arial"/>
          <w:color w:val="333333"/>
          <w:highlight w:val="white"/>
        </w:rPr>
      </w:pPr>
      <w:r>
        <w:rPr>
          <w:rFonts w:ascii="Arial" w:eastAsia="Arial" w:hAnsi="Arial" w:cs="Arial"/>
          <w:color w:val="333333"/>
          <w:highlight w:val="white"/>
        </w:rPr>
        <w:t xml:space="preserve">Trzeci poziom to </w:t>
      </w:r>
      <w:r>
        <w:rPr>
          <w:rFonts w:ascii="Arial" w:eastAsia="Arial" w:hAnsi="Arial" w:cs="Arial"/>
          <w:b/>
          <w:color w:val="333333"/>
          <w:highlight w:val="white"/>
        </w:rPr>
        <w:t xml:space="preserve">modyfikacja </w:t>
      </w:r>
      <w:r>
        <w:rPr>
          <w:rFonts w:ascii="Arial" w:eastAsia="Arial" w:hAnsi="Arial" w:cs="Arial"/>
          <w:color w:val="333333"/>
          <w:highlight w:val="white"/>
        </w:rPr>
        <w:t>(</w:t>
      </w:r>
      <w:proofErr w:type="spellStart"/>
      <w:r>
        <w:rPr>
          <w:rFonts w:ascii="Arial" w:eastAsia="Arial" w:hAnsi="Arial" w:cs="Arial"/>
          <w:color w:val="333333"/>
          <w:highlight w:val="white"/>
        </w:rPr>
        <w:t>modification</w:t>
      </w:r>
      <w:proofErr w:type="spellEnd"/>
      <w:r>
        <w:rPr>
          <w:rFonts w:ascii="Arial" w:eastAsia="Arial" w:hAnsi="Arial" w:cs="Arial"/>
          <w:color w:val="333333"/>
          <w:highlight w:val="white"/>
        </w:rPr>
        <w:t>). Dzięki zastosowaniu nowoczesnych technologii zadanie znacząco zmienia się. Po</w:t>
      </w:r>
      <w:r>
        <w:rPr>
          <w:rFonts w:ascii="Arial" w:eastAsia="Arial" w:hAnsi="Arial" w:cs="Arial"/>
          <w:color w:val="333333"/>
          <w:highlight w:val="white"/>
        </w:rPr>
        <w:t>wstaje nowa jakość edukacyjna. Będzie to np. tworzenie przez uczniów kolażu z różnych elementów (tekstowych, audio i wideo), znalezionych i pobranych z sieci.</w:t>
      </w:r>
    </w:p>
    <w:p w14:paraId="267880F8" w14:textId="77777777" w:rsidR="00A1707C" w:rsidRDefault="009545BE">
      <w:pPr>
        <w:shd w:val="clear" w:color="auto" w:fill="FFFFFF"/>
        <w:spacing w:after="160" w:line="360" w:lineRule="auto"/>
        <w:jc w:val="both"/>
        <w:rPr>
          <w:rFonts w:ascii="Arial" w:eastAsia="Arial" w:hAnsi="Arial" w:cs="Arial"/>
          <w:color w:val="333333"/>
          <w:highlight w:val="white"/>
        </w:rPr>
      </w:pPr>
      <w:proofErr w:type="spellStart"/>
      <w:r>
        <w:rPr>
          <w:rFonts w:ascii="Arial" w:eastAsia="Arial" w:hAnsi="Arial" w:cs="Arial"/>
          <w:b/>
          <w:color w:val="333333"/>
          <w:highlight w:val="white"/>
        </w:rPr>
        <w:t>R</w:t>
      </w:r>
      <w:r>
        <w:rPr>
          <w:rFonts w:ascii="Arial" w:eastAsia="Arial" w:hAnsi="Arial" w:cs="Arial"/>
          <w:color w:val="333333"/>
          <w:highlight w:val="white"/>
        </w:rPr>
        <w:t>edefinition</w:t>
      </w:r>
      <w:proofErr w:type="spellEnd"/>
    </w:p>
    <w:p w14:paraId="77F8807C" w14:textId="77777777" w:rsidR="00A1707C" w:rsidRDefault="009545BE">
      <w:pPr>
        <w:shd w:val="clear" w:color="auto" w:fill="FFFFFF"/>
        <w:spacing w:after="160" w:line="360" w:lineRule="auto"/>
        <w:jc w:val="both"/>
        <w:rPr>
          <w:rFonts w:ascii="Arial" w:eastAsia="Arial" w:hAnsi="Arial" w:cs="Arial"/>
          <w:color w:val="333333"/>
          <w:highlight w:val="white"/>
        </w:rPr>
      </w:pPr>
      <w:r>
        <w:rPr>
          <w:rFonts w:ascii="Arial" w:eastAsia="Arial" w:hAnsi="Arial" w:cs="Arial"/>
          <w:color w:val="333333"/>
          <w:highlight w:val="white"/>
        </w:rPr>
        <w:t xml:space="preserve">Ostatnim, najwyższym poziomem jest </w:t>
      </w:r>
      <w:r>
        <w:rPr>
          <w:rFonts w:ascii="Arial" w:eastAsia="Arial" w:hAnsi="Arial" w:cs="Arial"/>
          <w:b/>
          <w:color w:val="333333"/>
          <w:highlight w:val="white"/>
        </w:rPr>
        <w:t xml:space="preserve">redefinicja </w:t>
      </w:r>
      <w:r>
        <w:rPr>
          <w:rFonts w:ascii="Arial" w:eastAsia="Arial" w:hAnsi="Arial" w:cs="Arial"/>
          <w:color w:val="333333"/>
          <w:highlight w:val="white"/>
        </w:rPr>
        <w:t>(</w:t>
      </w:r>
      <w:proofErr w:type="spellStart"/>
      <w:r>
        <w:rPr>
          <w:rFonts w:ascii="Arial" w:eastAsia="Arial" w:hAnsi="Arial" w:cs="Arial"/>
          <w:color w:val="333333"/>
          <w:highlight w:val="white"/>
        </w:rPr>
        <w:t>redefinition</w:t>
      </w:r>
      <w:proofErr w:type="spellEnd"/>
      <w:r>
        <w:rPr>
          <w:rFonts w:ascii="Arial" w:eastAsia="Arial" w:hAnsi="Arial" w:cs="Arial"/>
          <w:color w:val="333333"/>
          <w:highlight w:val="white"/>
        </w:rPr>
        <w:t>). Na tym etapie stosowa</w:t>
      </w:r>
      <w:r>
        <w:rPr>
          <w:rFonts w:ascii="Arial" w:eastAsia="Arial" w:hAnsi="Arial" w:cs="Arial"/>
          <w:color w:val="333333"/>
          <w:highlight w:val="white"/>
        </w:rPr>
        <w:t>nie TIK umożliwia tworzenie nowych zadań, wcześniej zupełnie niemożliwych do wykonania. Takim zadaniem jest np. umieszczenie wpisu na blogu lub stronie internetowej,</w:t>
      </w:r>
    </w:p>
    <w:p w14:paraId="1365FF73" w14:textId="77777777" w:rsidR="00A1707C" w:rsidRDefault="009545BE">
      <w:pPr>
        <w:shd w:val="clear" w:color="auto" w:fill="FFFFFF"/>
        <w:spacing w:after="160" w:line="360" w:lineRule="auto"/>
        <w:jc w:val="both"/>
        <w:rPr>
          <w:rFonts w:ascii="Arial" w:eastAsia="Arial" w:hAnsi="Arial" w:cs="Arial"/>
          <w:color w:val="333333"/>
          <w:highlight w:val="white"/>
        </w:rPr>
      </w:pPr>
      <w:r>
        <w:rPr>
          <w:rFonts w:ascii="Arial" w:eastAsia="Arial" w:hAnsi="Arial" w:cs="Arial"/>
          <w:color w:val="333333"/>
          <w:highlight w:val="white"/>
        </w:rPr>
        <w:t>a tym samym udostępnienie go całemu światu i otrzymywanie informacji zwrotnej na jego temat w postaci komentarzy.</w:t>
      </w:r>
    </w:p>
    <w:p w14:paraId="4B058F8E" w14:textId="77777777" w:rsidR="00A1707C" w:rsidRDefault="00A1707C">
      <w:pPr>
        <w:spacing w:before="220" w:after="220" w:line="36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highlight w:val="white"/>
        </w:rPr>
      </w:pPr>
    </w:p>
    <w:p w14:paraId="2F611DF1" w14:textId="77777777" w:rsidR="00A1707C" w:rsidRDefault="00A1707C">
      <w:pPr>
        <w:spacing w:before="220" w:after="220" w:line="36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highlight w:val="white"/>
        </w:rPr>
      </w:pPr>
    </w:p>
    <w:sectPr w:rsidR="00A1707C">
      <w:headerReference w:type="default" r:id="rId8"/>
      <w:footerReference w:type="even" r:id="rId9"/>
      <w:footerReference w:type="default" r:id="rId10"/>
      <w:pgSz w:w="11907" w:h="16839"/>
      <w:pgMar w:top="1418" w:right="857" w:bottom="1134" w:left="992" w:header="142" w:footer="587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A953D6" w14:textId="77777777" w:rsidR="009545BE" w:rsidRDefault="009545BE">
      <w:pPr>
        <w:spacing w:after="0" w:line="240" w:lineRule="auto"/>
      </w:pPr>
      <w:r>
        <w:separator/>
      </w:r>
    </w:p>
  </w:endnote>
  <w:endnote w:type="continuationSeparator" w:id="0">
    <w:p w14:paraId="21B35ED2" w14:textId="77777777" w:rsidR="009545BE" w:rsidRDefault="009545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72B2E0" w14:textId="77777777" w:rsidR="00A1707C" w:rsidRDefault="00A1707C">
    <w:pPr>
      <w:widowControl w:val="0"/>
      <w:pBdr>
        <w:top w:val="nil"/>
        <w:left w:val="nil"/>
        <w:bottom w:val="nil"/>
        <w:right w:val="nil"/>
        <w:between w:val="nil"/>
      </w:pBdr>
      <w:spacing w:after="0"/>
    </w:pPr>
  </w:p>
  <w:tbl>
    <w:tblPr>
      <w:tblStyle w:val="a0"/>
      <w:tblW w:w="9779" w:type="dxa"/>
      <w:tblInd w:w="-142" w:type="dxa"/>
      <w:tblBorders>
        <w:top w:val="single" w:sz="4" w:space="0" w:color="000000"/>
        <w:left w:val="nil"/>
        <w:bottom w:val="nil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3396"/>
      <w:gridCol w:w="3836"/>
      <w:gridCol w:w="2547"/>
    </w:tblGrid>
    <w:tr w:rsidR="00A1707C" w14:paraId="6AA03A21" w14:textId="77777777">
      <w:tc>
        <w:tcPr>
          <w:tcW w:w="3396" w:type="dxa"/>
          <w:vAlign w:val="center"/>
        </w:tcPr>
        <w:p w14:paraId="6144EEA0" w14:textId="77777777" w:rsidR="00A1707C" w:rsidRDefault="009545BE">
          <w:pPr>
            <w:rPr>
              <w:sz w:val="18"/>
              <w:szCs w:val="18"/>
            </w:rPr>
          </w:pPr>
          <w:r>
            <w:rPr>
              <w:noProof/>
            </w:rPr>
            <w:drawing>
              <wp:inline distT="0" distB="0" distL="0" distR="0" wp14:anchorId="644B26D7" wp14:editId="321E0509">
                <wp:extent cx="1994726" cy="511659"/>
                <wp:effectExtent l="0" t="0" r="0" b="0"/>
                <wp:docPr id="3" name="image1.png" descr="logo identyfikacja_transparent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png" descr="logo identyfikacja_transparent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94726" cy="511659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  <w:r>
            <w:rPr>
              <w:color w:val="000000"/>
              <w:sz w:val="18"/>
              <w:szCs w:val="18"/>
            </w:rPr>
            <w:t xml:space="preserve"> </w:t>
          </w:r>
        </w:p>
      </w:tc>
      <w:tc>
        <w:tcPr>
          <w:tcW w:w="3836" w:type="dxa"/>
          <w:tcMar>
            <w:left w:w="0" w:type="dxa"/>
            <w:right w:w="0" w:type="dxa"/>
          </w:tcMar>
        </w:tcPr>
        <w:p w14:paraId="2C835342" w14:textId="77777777" w:rsidR="00A1707C" w:rsidRDefault="009545BE">
          <w:pPr>
            <w:rPr>
              <w:sz w:val="18"/>
              <w:szCs w:val="18"/>
            </w:rPr>
          </w:pPr>
          <w:r>
            <w:rPr>
              <w:sz w:val="18"/>
              <w:szCs w:val="18"/>
            </w:rPr>
            <w:t>Niepubliczna Placówka Doskonalenia Nauczycieli</w:t>
          </w:r>
        </w:p>
        <w:p w14:paraId="451DCA5E" w14:textId="77777777" w:rsidR="00A1707C" w:rsidRDefault="009545BE">
          <w:pPr>
            <w:rPr>
              <w:sz w:val="18"/>
              <w:szCs w:val="18"/>
            </w:rPr>
          </w:pPr>
          <w:proofErr w:type="spellStart"/>
          <w:r>
            <w:rPr>
              <w:sz w:val="18"/>
              <w:szCs w:val="18"/>
            </w:rPr>
            <w:t>PERCEPTi</w:t>
          </w:r>
          <w:proofErr w:type="spellEnd"/>
          <w:r>
            <w:rPr>
              <w:sz w:val="18"/>
              <w:szCs w:val="18"/>
            </w:rPr>
            <w:t xml:space="preserve"> Edukacja</w:t>
          </w:r>
        </w:p>
        <w:p w14:paraId="22E94540" w14:textId="77777777" w:rsidR="00A1707C" w:rsidRDefault="009545BE">
          <w:pPr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Aleja Juliusza Słowackiego 12 </w:t>
          </w:r>
          <w:r>
            <w:rPr>
              <w:sz w:val="18"/>
              <w:szCs w:val="18"/>
            </w:rPr>
            <w:br/>
            <w:t>65-326 Zielona Góra</w:t>
          </w:r>
        </w:p>
      </w:tc>
      <w:tc>
        <w:tcPr>
          <w:tcW w:w="2547" w:type="dxa"/>
          <w:tcMar>
            <w:left w:w="0" w:type="dxa"/>
            <w:right w:w="0" w:type="dxa"/>
          </w:tcMar>
          <w:vAlign w:val="center"/>
        </w:tcPr>
        <w:p w14:paraId="6A127E91" w14:textId="77777777" w:rsidR="00A1707C" w:rsidRDefault="009545BE">
          <w:pPr>
            <w:rPr>
              <w:color w:val="000000"/>
              <w:sz w:val="18"/>
              <w:szCs w:val="18"/>
            </w:rPr>
          </w:pPr>
          <w:r>
            <w:rPr>
              <w:color w:val="000000"/>
              <w:sz w:val="18"/>
              <w:szCs w:val="18"/>
            </w:rPr>
            <w:t>tel.: 503 37 90 30</w:t>
          </w:r>
        </w:p>
        <w:p w14:paraId="628E641B" w14:textId="77777777" w:rsidR="00A1707C" w:rsidRDefault="009545BE">
          <w:pPr>
            <w:rPr>
              <w:color w:val="000000"/>
              <w:sz w:val="18"/>
              <w:szCs w:val="18"/>
            </w:rPr>
          </w:pPr>
          <w:hyperlink r:id="rId2">
            <w:r>
              <w:rPr>
                <w:color w:val="000000"/>
                <w:sz w:val="18"/>
                <w:szCs w:val="18"/>
              </w:rPr>
              <w:t>szkolenia@perceptiedukacja.pl</w:t>
            </w:r>
          </w:hyperlink>
          <w:r>
            <w:rPr>
              <w:color w:val="000000"/>
              <w:sz w:val="18"/>
              <w:szCs w:val="18"/>
            </w:rPr>
            <w:t xml:space="preserve"> </w:t>
          </w:r>
        </w:p>
        <w:p w14:paraId="0BA33B13" w14:textId="77777777" w:rsidR="00A1707C" w:rsidRDefault="009545BE">
          <w:pPr>
            <w:rPr>
              <w:color w:val="000000"/>
              <w:sz w:val="18"/>
              <w:szCs w:val="18"/>
            </w:rPr>
          </w:pPr>
          <w:hyperlink r:id="rId3">
            <w:r>
              <w:rPr>
                <w:color w:val="000000"/>
                <w:sz w:val="18"/>
                <w:szCs w:val="18"/>
              </w:rPr>
              <w:t>preceptiedukacja.pl</w:t>
            </w:r>
          </w:hyperlink>
        </w:p>
        <w:p w14:paraId="101E0486" w14:textId="77777777" w:rsidR="00A1707C" w:rsidRDefault="009545B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703"/>
              <w:tab w:val="right" w:pos="9406"/>
            </w:tabs>
            <w:rPr>
              <w:color w:val="000000"/>
            </w:rPr>
          </w:pPr>
          <w:hyperlink r:id="rId4">
            <w:r>
              <w:rPr>
                <w:color w:val="000000"/>
                <w:sz w:val="18"/>
                <w:szCs w:val="18"/>
              </w:rPr>
              <w:t>facebook.com/</w:t>
            </w:r>
            <w:proofErr w:type="spellStart"/>
            <w:r>
              <w:rPr>
                <w:color w:val="000000"/>
                <w:sz w:val="18"/>
                <w:szCs w:val="18"/>
              </w:rPr>
              <w:t>PERCEPT</w:t>
            </w:r>
            <w:r>
              <w:rPr>
                <w:color w:val="000000"/>
                <w:sz w:val="18"/>
                <w:szCs w:val="18"/>
              </w:rPr>
              <w:t>iEdukacja</w:t>
            </w:r>
            <w:proofErr w:type="spellEnd"/>
          </w:hyperlink>
        </w:p>
      </w:tc>
    </w:tr>
  </w:tbl>
  <w:p w14:paraId="1FE2FFB2" w14:textId="77777777" w:rsidR="00A1707C" w:rsidRDefault="00A1707C">
    <w:pPr>
      <w:pBdr>
        <w:top w:val="nil"/>
        <w:left w:val="nil"/>
        <w:bottom w:val="nil"/>
        <w:right w:val="nil"/>
        <w:between w:val="nil"/>
      </w:pBdr>
      <w:tabs>
        <w:tab w:val="center" w:pos="4703"/>
        <w:tab w:val="right" w:pos="9406"/>
      </w:tabs>
      <w:spacing w:after="0"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3932E8" w14:textId="77777777" w:rsidR="00A1707C" w:rsidRDefault="00A1707C">
    <w:pPr>
      <w:widowControl w:val="0"/>
      <w:pBdr>
        <w:top w:val="nil"/>
        <w:left w:val="nil"/>
        <w:bottom w:val="nil"/>
        <w:right w:val="nil"/>
        <w:between w:val="nil"/>
      </w:pBdr>
      <w:spacing w:after="0"/>
      <w:rPr>
        <w:b/>
        <w:i/>
        <w:color w:val="000000"/>
      </w:rPr>
    </w:pPr>
  </w:p>
  <w:tbl>
    <w:tblPr>
      <w:tblStyle w:val="a"/>
      <w:tblW w:w="9781" w:type="dxa"/>
      <w:tblInd w:w="0" w:type="dxa"/>
      <w:tblBorders>
        <w:top w:val="single" w:sz="4" w:space="0" w:color="000000"/>
        <w:left w:val="nil"/>
        <w:bottom w:val="nil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2688"/>
      <w:gridCol w:w="3695"/>
      <w:gridCol w:w="3398"/>
    </w:tblGrid>
    <w:tr w:rsidR="00A1707C" w14:paraId="771BC9C3" w14:textId="77777777" w:rsidTr="00AC2AAB">
      <w:tc>
        <w:tcPr>
          <w:tcW w:w="2688" w:type="dxa"/>
        </w:tcPr>
        <w:p w14:paraId="1CFE37C4" w14:textId="49D24E5D" w:rsidR="00A1707C" w:rsidRDefault="00A1707C">
          <w:pPr>
            <w:jc w:val="right"/>
            <w:rPr>
              <w:sz w:val="18"/>
              <w:szCs w:val="18"/>
            </w:rPr>
          </w:pPr>
        </w:p>
      </w:tc>
      <w:tc>
        <w:tcPr>
          <w:tcW w:w="3695" w:type="dxa"/>
          <w:tcMar>
            <w:left w:w="0" w:type="dxa"/>
            <w:right w:w="0" w:type="dxa"/>
          </w:tcMar>
        </w:tcPr>
        <w:p w14:paraId="4D11F5F8" w14:textId="6751D7D7" w:rsidR="00A1707C" w:rsidRDefault="00A1707C">
          <w:pPr>
            <w:jc w:val="right"/>
            <w:rPr>
              <w:sz w:val="18"/>
              <w:szCs w:val="18"/>
            </w:rPr>
          </w:pPr>
        </w:p>
      </w:tc>
      <w:tc>
        <w:tcPr>
          <w:tcW w:w="3398" w:type="dxa"/>
          <w:tcMar>
            <w:left w:w="0" w:type="dxa"/>
            <w:right w:w="0" w:type="dxa"/>
          </w:tcMar>
          <w:vAlign w:val="center"/>
        </w:tcPr>
        <w:p w14:paraId="4515F9C5" w14:textId="4E501F87" w:rsidR="00A1707C" w:rsidRDefault="00A1707C" w:rsidP="00AC2AAB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703"/>
              <w:tab w:val="right" w:pos="9406"/>
            </w:tabs>
            <w:jc w:val="center"/>
            <w:rPr>
              <w:color w:val="000000"/>
            </w:rPr>
          </w:pPr>
        </w:p>
      </w:tc>
    </w:tr>
  </w:tbl>
  <w:p w14:paraId="00183DD2" w14:textId="77777777" w:rsidR="00A1707C" w:rsidRDefault="00A1707C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5BCEF6" w14:textId="77777777" w:rsidR="009545BE" w:rsidRDefault="009545BE">
      <w:pPr>
        <w:spacing w:after="0" w:line="240" w:lineRule="auto"/>
      </w:pPr>
      <w:r>
        <w:separator/>
      </w:r>
    </w:p>
  </w:footnote>
  <w:footnote w:type="continuationSeparator" w:id="0">
    <w:p w14:paraId="034232E1" w14:textId="77777777" w:rsidR="009545BE" w:rsidRDefault="009545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752566" w14:textId="77777777" w:rsidR="00A1707C" w:rsidRDefault="00A1707C">
    <w:pPr>
      <w:pBdr>
        <w:top w:val="nil"/>
        <w:left w:val="nil"/>
        <w:bottom w:val="nil"/>
        <w:right w:val="nil"/>
        <w:between w:val="nil"/>
      </w:pBdr>
      <w:tabs>
        <w:tab w:val="center" w:pos="4703"/>
        <w:tab w:val="right" w:pos="9406"/>
      </w:tabs>
      <w:spacing w:after="0" w:line="240" w:lineRule="auto"/>
      <w:rPr>
        <w:color w:val="000000"/>
      </w:rPr>
    </w:pPr>
  </w:p>
  <w:p w14:paraId="3C288C67" w14:textId="77777777" w:rsidR="00A1707C" w:rsidRDefault="00A1707C">
    <w:pPr>
      <w:pBdr>
        <w:top w:val="nil"/>
        <w:left w:val="nil"/>
        <w:bottom w:val="nil"/>
        <w:right w:val="nil"/>
        <w:between w:val="nil"/>
      </w:pBdr>
      <w:tabs>
        <w:tab w:val="center" w:pos="4703"/>
        <w:tab w:val="right" w:pos="9406"/>
      </w:tabs>
      <w:spacing w:after="0" w:line="240" w:lineRule="auto"/>
      <w:jc w:val="center"/>
      <w:rPr>
        <w:color w:val="000000"/>
      </w:rPr>
    </w:pPr>
  </w:p>
  <w:p w14:paraId="7A9F16CB" w14:textId="77777777" w:rsidR="00A1707C" w:rsidRDefault="009545BE">
    <w:pPr>
      <w:pBdr>
        <w:top w:val="nil"/>
        <w:left w:val="nil"/>
        <w:bottom w:val="single" w:sz="4" w:space="1" w:color="000000"/>
        <w:right w:val="nil"/>
        <w:between w:val="nil"/>
      </w:pBdr>
      <w:tabs>
        <w:tab w:val="center" w:pos="4703"/>
        <w:tab w:val="right" w:pos="9406"/>
      </w:tabs>
      <w:spacing w:after="0" w:line="240" w:lineRule="auto"/>
      <w:rPr>
        <w:b/>
        <w:i/>
      </w:rPr>
    </w:pPr>
    <w:r>
      <w:rPr>
        <w:b/>
        <w:i/>
      </w:rPr>
      <w:t>Model SAMR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A1707C"/>
    <w:rsid w:val="009545BE"/>
    <w:rsid w:val="00A1707C"/>
    <w:rsid w:val="00AC2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12F0ED"/>
  <w15:docId w15:val="{2ADB0518-DABC-48D4-96A2-4E689820B9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uiPriority w:val="9"/>
    <w:qFormat/>
    <w:pPr>
      <w:keepNext/>
      <w:spacing w:before="240" w:after="60"/>
      <w:outlineLvl w:val="0"/>
    </w:pPr>
    <w:rPr>
      <w:b/>
      <w:sz w:val="32"/>
      <w:szCs w:val="32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200" w:after="0"/>
      <w:outlineLvl w:val="1"/>
    </w:pPr>
    <w:rPr>
      <w:b/>
      <w:sz w:val="24"/>
      <w:szCs w:val="24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42" w:type="dxa"/>
      </w:tblCellMar>
    </w:tblPr>
  </w:style>
  <w:style w:type="table" w:customStyle="1" w:styleId="a0">
    <w:basedOn w:val="TableNormal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42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AC2A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C2AAB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AC2A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C2AAB"/>
  </w:style>
  <w:style w:type="paragraph" w:styleId="Stopka">
    <w:name w:val="footer"/>
    <w:basedOn w:val="Normalny"/>
    <w:link w:val="StopkaZnak"/>
    <w:uiPriority w:val="99"/>
    <w:unhideWhenUsed/>
    <w:rsid w:val="00AC2A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C2A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://hippasus.com/blog/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preceptiedukacja.pl" TargetMode="External"/><Relationship Id="rId2" Type="http://schemas.openxmlformats.org/officeDocument/2006/relationships/hyperlink" Target="mailto:szkolenia@perceptiedukacja.pl" TargetMode="External"/><Relationship Id="rId1" Type="http://schemas.openxmlformats.org/officeDocument/2006/relationships/image" Target="media/image2.png"/><Relationship Id="rId4" Type="http://schemas.openxmlformats.org/officeDocument/2006/relationships/hyperlink" Target="http://www.facebook.com/PERCEPTiEdukacj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296</Words>
  <Characters>1780</Characters>
  <Application>Microsoft Office Word</Application>
  <DocSecurity>0</DocSecurity>
  <Lines>14</Lines>
  <Paragraphs>4</Paragraphs>
  <ScaleCrop>false</ScaleCrop>
  <Company/>
  <LinksUpToDate>false</LinksUpToDate>
  <CharactersWithSpaces>2072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Margo Ra</cp:lastModifiedBy>
  <cp:revision>3</cp:revision>
  <dcterms:created xsi:type="dcterms:W3CDTF">2019-04-04T11:49:00Z</dcterms:created>
  <dcterms:modified xsi:type="dcterms:W3CDTF">2019-04-04T11:50:00Z</dcterms:modified>
</cp:coreProperties>
</file>